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8DE0E2A" w:rsidR="00F92268" w:rsidRPr="00FF66BF" w:rsidRDefault="00713737" w:rsidP="00F246C7">
            <w:pPr>
              <w:pStyle w:val="RefTableHeader"/>
            </w:pPr>
            <w:r>
              <w:t>1928-A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53B38BA" w14:textId="79402AB9" w:rsidR="00713737" w:rsidRPr="00713737" w:rsidRDefault="00713737" w:rsidP="00713737">
      <w:pPr>
        <w:pStyle w:val="Heading1"/>
        <w:rPr>
          <w:bCs/>
          <w:color w:val="000000" w:themeColor="text1"/>
        </w:rPr>
      </w:pPr>
      <w:r w:rsidRPr="00713737">
        <w:rPr>
          <w:bCs/>
        </w:rPr>
        <w:t>Specialty Guideline Management</w:t>
      </w:r>
      <w:r w:rsidRPr="00713737">
        <w:rPr>
          <w:bCs/>
        </w:rPr>
        <w:br/>
      </w:r>
      <w:r w:rsidR="007F3D9E" w:rsidRPr="00713737">
        <w:rPr>
          <w:bCs/>
        </w:rPr>
        <w:t>Promacta</w:t>
      </w:r>
      <w:r w:rsidR="007F3D9E">
        <w:rPr>
          <w:bCs/>
        </w:rPr>
        <w:t>-</w:t>
      </w:r>
      <w:r w:rsidRPr="00713737">
        <w:rPr>
          <w:color w:val="000000" w:themeColor="text1"/>
        </w:rPr>
        <w:t>Alvaiz</w:t>
      </w:r>
    </w:p>
    <w:p w14:paraId="78861C92" w14:textId="0F8249BF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6D0323FC" w14:textId="49EC3073" w:rsidR="00797A9A" w:rsidRDefault="00D82D85" w:rsidP="00713737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2577C8">
        <w:rPr>
          <w:rStyle w:val="ui-provider"/>
        </w:rPr>
        <w:t>Over</w:t>
      </w:r>
      <w:r w:rsidR="00C440E9">
        <w:rPr>
          <w:rStyle w:val="ui-provider"/>
        </w:rPr>
        <w:t>-</w:t>
      </w:r>
      <w:r w:rsidR="002577C8">
        <w:rPr>
          <w:rStyle w:val="ui-provider"/>
        </w:rPr>
        <w:t>the</w:t>
      </w:r>
      <w:r w:rsidR="00C440E9">
        <w:rPr>
          <w:rStyle w:val="ui-provider"/>
        </w:rPr>
        <w:t>-</w:t>
      </w:r>
      <w:r w:rsidR="002577C8">
        <w:rPr>
          <w:rStyle w:val="ui-provider"/>
        </w:rPr>
        <w:t>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797A9A" w:rsidRPr="00BD1CC1" w14:paraId="4EC519AC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48D20AEA" w14:textId="0E2E1A0B" w:rsidR="00797A9A" w:rsidRPr="00BD1CC1" w:rsidRDefault="00AE2211">
            <w:pPr>
              <w:pStyle w:val="TableHeader"/>
            </w:pPr>
            <w:r>
              <w:t>Brand</w:t>
            </w:r>
            <w:r w:rsidR="00942522">
              <w:t xml:space="preserve"> Name</w:t>
            </w:r>
          </w:p>
        </w:tc>
        <w:tc>
          <w:tcPr>
            <w:tcW w:w="5595" w:type="dxa"/>
            <w:vAlign w:val="center"/>
          </w:tcPr>
          <w:p w14:paraId="3CF99B3C" w14:textId="569CDD83" w:rsidR="00797A9A" w:rsidRPr="00BD1CC1" w:rsidRDefault="00AE2211">
            <w:pPr>
              <w:pStyle w:val="TableHeader"/>
            </w:pPr>
            <w:r>
              <w:t>Generic Name</w:t>
            </w:r>
          </w:p>
        </w:tc>
      </w:tr>
      <w:tr w:rsidR="00942522" w:rsidRPr="00BD1CC1" w14:paraId="27FD21B5" w14:textId="77777777">
        <w:trPr>
          <w:cantSplit/>
        </w:trPr>
        <w:tc>
          <w:tcPr>
            <w:tcW w:w="5265" w:type="dxa"/>
          </w:tcPr>
          <w:p w14:paraId="7A76C342" w14:textId="0E9995ED" w:rsidR="00942522" w:rsidRPr="00713737" w:rsidRDefault="00713737" w:rsidP="00942522">
            <w:pPr>
              <w:pStyle w:val="TableDataUnpadded"/>
              <w:rPr>
                <w:bCs/>
              </w:rPr>
            </w:pPr>
            <w:r w:rsidRPr="00713737">
              <w:rPr>
                <w:bCs/>
              </w:rPr>
              <w:t>Promacta</w:t>
            </w:r>
          </w:p>
        </w:tc>
        <w:tc>
          <w:tcPr>
            <w:tcW w:w="5595" w:type="dxa"/>
          </w:tcPr>
          <w:p w14:paraId="392DAAC5" w14:textId="132D634F" w:rsidR="00942522" w:rsidRPr="00BD1CC1" w:rsidRDefault="00713737" w:rsidP="00942522">
            <w:pPr>
              <w:pStyle w:val="TableDataUnpadded"/>
            </w:pPr>
            <w:r w:rsidRPr="00713737">
              <w:rPr>
                <w:bCs/>
                <w:color w:val="000000" w:themeColor="text1"/>
              </w:rPr>
              <w:t>eltrombopag olamine</w:t>
            </w:r>
          </w:p>
        </w:tc>
      </w:tr>
      <w:tr w:rsidR="00942522" w:rsidRPr="00BD1CC1" w14:paraId="56216371" w14:textId="77777777">
        <w:trPr>
          <w:cantSplit/>
        </w:trPr>
        <w:tc>
          <w:tcPr>
            <w:tcW w:w="5265" w:type="dxa"/>
          </w:tcPr>
          <w:p w14:paraId="3502E3F0" w14:textId="6870BA9E" w:rsidR="00942522" w:rsidRPr="00BD1CC1" w:rsidRDefault="00713737" w:rsidP="00942522">
            <w:pPr>
              <w:pStyle w:val="TableDataUnpadded"/>
            </w:pPr>
            <w:r w:rsidRPr="00713737">
              <w:t>Alvaiz</w:t>
            </w:r>
          </w:p>
        </w:tc>
        <w:tc>
          <w:tcPr>
            <w:tcW w:w="5595" w:type="dxa"/>
          </w:tcPr>
          <w:p w14:paraId="4AEF3718" w14:textId="38B633E1" w:rsidR="00942522" w:rsidRPr="00BD1CC1" w:rsidRDefault="00713737" w:rsidP="00942522">
            <w:pPr>
              <w:pStyle w:val="TableDataUnpadded"/>
            </w:pPr>
            <w:r w:rsidRPr="00713737">
              <w:rPr>
                <w:bCs/>
              </w:rPr>
              <w:t>eltrombopag choline</w:t>
            </w:r>
          </w:p>
        </w:tc>
      </w:tr>
    </w:tbl>
    <w:p w14:paraId="14CE6108" w14:textId="1AD61D8A" w:rsidR="00FC1AAD" w:rsidRPr="00713737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5C3F3229" w14:textId="6BDEB9AA" w:rsidR="00713737" w:rsidRPr="00713737" w:rsidRDefault="00713737" w:rsidP="00713737">
      <w:pPr>
        <w:pStyle w:val="BodyText"/>
      </w:pPr>
      <w:r w:rsidRPr="0071373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7D29D44F" w14:textId="519F016A" w:rsidR="00713737" w:rsidRPr="00713737" w:rsidRDefault="00ED052F" w:rsidP="00713737">
      <w:pPr>
        <w:pStyle w:val="Heading3"/>
        <w:keepNext w:val="0"/>
      </w:pPr>
      <w:r w:rsidRPr="00BD1CC1">
        <w:t>FDA-approved Indications</w:t>
      </w:r>
    </w:p>
    <w:p w14:paraId="5157697F" w14:textId="77777777" w:rsidR="00713737" w:rsidRPr="00713737" w:rsidRDefault="00713737" w:rsidP="00422874">
      <w:pPr>
        <w:pStyle w:val="Heading4"/>
      </w:pPr>
      <w:r w:rsidRPr="00713737">
        <w:t>Promacta is indicated for:</w:t>
      </w:r>
    </w:p>
    <w:p w14:paraId="21770D46" w14:textId="77777777" w:rsidR="00713737" w:rsidRPr="00713737" w:rsidRDefault="00713737" w:rsidP="00713737">
      <w:pPr>
        <w:pStyle w:val="ListParagraph"/>
        <w:rPr>
          <w:u w:val="single"/>
        </w:rPr>
      </w:pPr>
      <w:r w:rsidRPr="00713737">
        <w:t>Treatment of thrombocytopenia in adult and pediatric patients 1 year and older with persistent or chronic immune thrombocytopenia (ITP) who have had an insufficient response to corticosteroids, immunoglobulins, or splenectomy.</w:t>
      </w:r>
    </w:p>
    <w:p w14:paraId="6F44EBA0" w14:textId="77777777" w:rsidR="00713737" w:rsidRPr="00713737" w:rsidRDefault="00713737" w:rsidP="00713737">
      <w:pPr>
        <w:pStyle w:val="ListParagraph"/>
        <w:rPr>
          <w:u w:val="single"/>
        </w:rPr>
      </w:pPr>
      <w:r w:rsidRPr="00713737">
        <w:t>Treatment of thrombocytopenia in patients with chronic hepatitis C to allow the initiation and maintenance of interferon-based therapy.</w:t>
      </w:r>
    </w:p>
    <w:p w14:paraId="421057FB" w14:textId="77777777" w:rsidR="00713737" w:rsidRPr="00713737" w:rsidRDefault="00713737" w:rsidP="00713737">
      <w:pPr>
        <w:pStyle w:val="ListParagraph"/>
      </w:pPr>
      <w:r w:rsidRPr="00713737">
        <w:t>First-line treatment of severe aplastic anemia in adult and pediatric patients 2 years and older in combination with standard immunosuppressive therapy.</w:t>
      </w:r>
    </w:p>
    <w:p w14:paraId="4F5921AA" w14:textId="7BAEB4AD" w:rsidR="00713737" w:rsidRPr="00713737" w:rsidRDefault="00713737" w:rsidP="00713737">
      <w:pPr>
        <w:pStyle w:val="ListParagraph"/>
        <w:rPr>
          <w:u w:val="single"/>
        </w:rPr>
      </w:pPr>
      <w:r w:rsidRPr="00713737">
        <w:t>Treatment of patients with severe aplastic anemia who have had an insufficient response to immunosuppressive therapy.</w:t>
      </w:r>
    </w:p>
    <w:p w14:paraId="296D607C" w14:textId="77777777" w:rsidR="00713737" w:rsidRPr="00713737" w:rsidRDefault="00713737" w:rsidP="00422874">
      <w:pPr>
        <w:pStyle w:val="Heading4"/>
      </w:pPr>
      <w:r w:rsidRPr="00713737">
        <w:lastRenderedPageBreak/>
        <w:t>Alvaiz is indicated for:</w:t>
      </w:r>
    </w:p>
    <w:p w14:paraId="641B33D6" w14:textId="77777777" w:rsidR="00713737" w:rsidRPr="00713737" w:rsidRDefault="00713737" w:rsidP="00713737">
      <w:pPr>
        <w:pStyle w:val="ListParagraph"/>
      </w:pPr>
      <w:r w:rsidRPr="00713737">
        <w:t>Treatment of thrombocytopenia in adult and pediatric patients 6 years and older with persistent or chronic ITP who have had an insufficient response to corticosteroids, immunoglobulins, or splenectomy.</w:t>
      </w:r>
    </w:p>
    <w:p w14:paraId="02A07AD4" w14:textId="77777777" w:rsidR="00713737" w:rsidRPr="00713737" w:rsidRDefault="00713737" w:rsidP="00713737">
      <w:pPr>
        <w:pStyle w:val="ListParagraph"/>
      </w:pPr>
      <w:r w:rsidRPr="00713737">
        <w:t>Treatment of thrombocytopenia in adult patients with chronic hepatitis C to allow the initiation and maintenance of interferon-based therapy.</w:t>
      </w:r>
    </w:p>
    <w:p w14:paraId="28474B8C" w14:textId="2AB72ACE" w:rsidR="00713737" w:rsidRPr="00713737" w:rsidRDefault="00713737" w:rsidP="00713737">
      <w:pPr>
        <w:pStyle w:val="ListParagraph"/>
      </w:pPr>
      <w:r w:rsidRPr="00713737">
        <w:t>Treatment of adult patients with severe aplastic anemia who have had an insufficient response to immunosuppressive therapy.</w:t>
      </w:r>
    </w:p>
    <w:p w14:paraId="0B5EC236" w14:textId="48693292" w:rsidR="0044763A" w:rsidRDefault="009F2EF1" w:rsidP="0044763A">
      <w:pPr>
        <w:pStyle w:val="Heading3"/>
      </w:pPr>
      <w:r>
        <w:t>Compendial Uses</w:t>
      </w:r>
    </w:p>
    <w:p w14:paraId="1E0B3194" w14:textId="1F135B54" w:rsidR="00713737" w:rsidRPr="00713737" w:rsidRDefault="00713737" w:rsidP="00713737">
      <w:pPr>
        <w:pStyle w:val="ListParagraph"/>
      </w:pPr>
      <w:r w:rsidRPr="00713737">
        <w:t>MYH9-related disease with thrombocytopenia (Promacta only)</w:t>
      </w:r>
    </w:p>
    <w:p w14:paraId="2E79B0CA" w14:textId="24853ADB" w:rsidR="00713737" w:rsidRPr="00713737" w:rsidRDefault="00713737" w:rsidP="00713737">
      <w:pPr>
        <w:pStyle w:val="ListParagraph"/>
      </w:pPr>
      <w:bookmarkStart w:id="0" w:name="OLE_LINK21"/>
      <w:bookmarkStart w:id="1" w:name="OLE_LINK5"/>
      <w:r w:rsidRPr="00713737">
        <w:t>Myelodysplastic syndromes</w:t>
      </w:r>
      <w:bookmarkStart w:id="2" w:name="OLE_LINK22"/>
      <w:bookmarkEnd w:id="0"/>
      <w:r w:rsidRPr="00713737">
        <w:t xml:space="preserve"> (MDS) (Promacta only)</w:t>
      </w:r>
      <w:bookmarkEnd w:id="1"/>
      <w:bookmarkEnd w:id="2"/>
    </w:p>
    <w:p w14:paraId="049E31D7" w14:textId="062662DC" w:rsidR="00713737" w:rsidRPr="00713737" w:rsidRDefault="005A0C9F" w:rsidP="00713737">
      <w:pPr>
        <w:pStyle w:val="ListParagraph"/>
      </w:pPr>
      <w:r>
        <w:t>T</w:t>
      </w:r>
      <w:r w:rsidR="00713737" w:rsidRPr="00713737">
        <w:t xml:space="preserve">hrombocytopenia </w:t>
      </w:r>
      <w:r>
        <w:t>post-hematopoietic cell transplant</w:t>
      </w:r>
    </w:p>
    <w:p w14:paraId="1DF6C7BC" w14:textId="3C52B352" w:rsidR="00713737" w:rsidRPr="00713737" w:rsidRDefault="00713737" w:rsidP="00713737">
      <w:pPr>
        <w:pStyle w:val="BodyText"/>
      </w:pPr>
      <w:r w:rsidRPr="00713737">
        <w:t>All other indications are considered experimental/investigational and not medically necessary.</w:t>
      </w:r>
    </w:p>
    <w:p w14:paraId="36381B6D" w14:textId="36B79620" w:rsidR="000D2496" w:rsidRDefault="000D2496" w:rsidP="000D2496">
      <w:pPr>
        <w:pStyle w:val="Heading2"/>
      </w:pPr>
      <w:r w:rsidRPr="00BD1CC1">
        <w:t>Documentation</w:t>
      </w:r>
    </w:p>
    <w:p w14:paraId="03C1711B" w14:textId="77777777" w:rsidR="00DF6514" w:rsidRPr="00DF6514" w:rsidRDefault="00DF6514" w:rsidP="00DF6514">
      <w:pPr>
        <w:pStyle w:val="BodyText"/>
      </w:pPr>
      <w:r w:rsidRPr="00DF6514">
        <w:t>Submission of the following information is necessary to initiate the prior authorization review:</w:t>
      </w:r>
    </w:p>
    <w:p w14:paraId="2F1CC997" w14:textId="3756701A" w:rsidR="00DF6514" w:rsidRPr="000E4D6E" w:rsidRDefault="00DF6514" w:rsidP="000E4D6E">
      <w:pPr>
        <w:pStyle w:val="ListParagraph"/>
      </w:pPr>
      <w:r w:rsidRPr="000E4D6E">
        <w:t>Persistent or chronic immune thrombocytopenia (ITP):</w:t>
      </w:r>
    </w:p>
    <w:p w14:paraId="7E6E62D8" w14:textId="77777777" w:rsidR="00DF6514" w:rsidRPr="00DF6514" w:rsidRDefault="00DF6514" w:rsidP="00DF6514">
      <w:pPr>
        <w:pStyle w:val="ListParagraph"/>
        <w:numPr>
          <w:ilvl w:val="1"/>
          <w:numId w:val="32"/>
        </w:numPr>
      </w:pPr>
      <w:r w:rsidRPr="00DF6514">
        <w:t>For initial requests: pretreatment platelet count</w:t>
      </w:r>
    </w:p>
    <w:p w14:paraId="6BD2F320" w14:textId="77777777" w:rsidR="00DF6514" w:rsidRPr="00DF6514" w:rsidRDefault="00DF6514" w:rsidP="00DF6514">
      <w:pPr>
        <w:pStyle w:val="ListParagraph"/>
        <w:numPr>
          <w:ilvl w:val="1"/>
          <w:numId w:val="32"/>
        </w:numPr>
      </w:pPr>
      <w:r w:rsidRPr="00DF6514">
        <w:t>For continuation requests: current platelet count</w:t>
      </w:r>
    </w:p>
    <w:p w14:paraId="1D79AF80" w14:textId="1E10DBF2" w:rsidR="00DF6514" w:rsidRPr="00DF6514" w:rsidRDefault="00DF6514" w:rsidP="00DF6514">
      <w:pPr>
        <w:pStyle w:val="ListParagraph"/>
      </w:pPr>
      <w:r w:rsidRPr="00DF6514">
        <w:t>Aplastic anemia continuation of therapy: current platelet count</w:t>
      </w:r>
    </w:p>
    <w:p w14:paraId="65A12794" w14:textId="13D08383" w:rsidR="000D5101" w:rsidRDefault="004715CD" w:rsidP="00E050E1">
      <w:pPr>
        <w:pStyle w:val="Heading2"/>
      </w:pPr>
      <w:r w:rsidRPr="00BD1CC1">
        <w:t>Exclusions</w:t>
      </w:r>
    </w:p>
    <w:p w14:paraId="3979527E" w14:textId="78E6C6AE" w:rsidR="00DF6514" w:rsidRDefault="00DF6514" w:rsidP="00DF6514">
      <w:pPr>
        <w:pStyle w:val="BodyText"/>
      </w:pPr>
      <w:r w:rsidRPr="00DF6514">
        <w:t>Coverage will not be provided when the requested drug will be used concomitantly with other thrombopoietin receptor agonists (e.g., Nplate, Doptelet, Mulpleta) or with spleen tyrosine kinase inhibitors (e.g., Tavalisse).</w:t>
      </w:r>
    </w:p>
    <w:p w14:paraId="1224E8A7" w14:textId="5E55ED8F" w:rsidR="00DF6514" w:rsidRPr="00DF6514" w:rsidRDefault="00DF6514" w:rsidP="00DF6514">
      <w:pPr>
        <w:pStyle w:val="Heading2"/>
      </w:pPr>
      <w:r w:rsidRPr="00DF6514">
        <w:t>Prescriber Specialties</w:t>
      </w:r>
    </w:p>
    <w:p w14:paraId="4BB8C4CE" w14:textId="77777777" w:rsidR="00DF6514" w:rsidRPr="00DF6514" w:rsidRDefault="00DF6514" w:rsidP="00DF6514">
      <w:pPr>
        <w:pStyle w:val="BodyText"/>
      </w:pPr>
      <w:r w:rsidRPr="00DF6514">
        <w:t>This medication must be prescribed by or in consultation with either of the following:</w:t>
      </w:r>
    </w:p>
    <w:p w14:paraId="0A62F2F9" w14:textId="2F0ADE91" w:rsidR="00DF6514" w:rsidRPr="00DF6514" w:rsidRDefault="00DF6514" w:rsidP="00DF6514">
      <w:pPr>
        <w:pStyle w:val="ListParagraph"/>
      </w:pPr>
      <w:r w:rsidRPr="00DF6514">
        <w:t>Persistent or chronic immune thrombocytopenia (ITP), aplastic anemia, MYH9-related disease with thrombocytopenia, myelodysplastic syndromes, and thrombocytopenia</w:t>
      </w:r>
      <w:r w:rsidR="005A0C9F">
        <w:t xml:space="preserve"> post-hematopoietic cell transplant</w:t>
      </w:r>
      <w:r w:rsidRPr="00DF6514">
        <w:t>:</w:t>
      </w:r>
      <w:bookmarkStart w:id="3" w:name="OLE_LINK3"/>
      <w:r w:rsidRPr="00DF6514">
        <w:t xml:space="preserve"> </w:t>
      </w:r>
      <w:bookmarkEnd w:id="3"/>
      <w:r w:rsidRPr="00DF6514">
        <w:t xml:space="preserve"> hematologist or oncologist</w:t>
      </w:r>
    </w:p>
    <w:p w14:paraId="6EE6845B" w14:textId="49387B57" w:rsidR="00DF6514" w:rsidRPr="00DF6514" w:rsidRDefault="00DF6514" w:rsidP="00DF6514">
      <w:pPr>
        <w:pStyle w:val="ListParagraph"/>
      </w:pPr>
      <w:r w:rsidRPr="00DF6514">
        <w:lastRenderedPageBreak/>
        <w:t>Thrombocytopenia with hepatitis C: hematologist or a prescriber specializing in infectious disease, gastroenterology, hepatology, or transplant</w:t>
      </w:r>
    </w:p>
    <w:p w14:paraId="50A38FBA" w14:textId="4FB44644" w:rsidR="00FE0C63" w:rsidRDefault="00685107" w:rsidP="00E050E1">
      <w:pPr>
        <w:pStyle w:val="Heading2"/>
      </w:pPr>
      <w:r>
        <w:t>Coverage Criteria</w:t>
      </w:r>
    </w:p>
    <w:p w14:paraId="006612B0" w14:textId="13044920" w:rsidR="00DF6514" w:rsidRPr="00DF6514" w:rsidRDefault="00DF6514" w:rsidP="00DF6514">
      <w:pPr>
        <w:pStyle w:val="Heading3"/>
      </w:pPr>
      <w:r w:rsidRPr="00DF6514">
        <w:t>Persistent or chronic immune thrombocytopenia (ITP)</w:t>
      </w:r>
    </w:p>
    <w:p w14:paraId="66E7A9D9" w14:textId="77777777" w:rsidR="00DF6514" w:rsidRPr="00DF6514" w:rsidRDefault="00DF6514" w:rsidP="00DF6514">
      <w:pPr>
        <w:pStyle w:val="BodyText"/>
      </w:pPr>
      <w:r w:rsidRPr="00DF6514">
        <w:t>Authorization of 6 months may be granted for treatment of persistent or chronic ITP when both of the following criteria are met:</w:t>
      </w:r>
    </w:p>
    <w:p w14:paraId="606BE7B6" w14:textId="050B7ECD" w:rsidR="00DF6514" w:rsidRPr="00DF6514" w:rsidRDefault="00DF6514" w:rsidP="00DF6514">
      <w:pPr>
        <w:pStyle w:val="ListParagraph"/>
      </w:pPr>
      <w:r w:rsidRPr="00DF6514">
        <w:t>Member has had an inadequate response or intolerance to prior therapy with corticosteroids, immunoglobulins, or splenectomy.</w:t>
      </w:r>
    </w:p>
    <w:p w14:paraId="26A51F57" w14:textId="77777777" w:rsidR="00DF6514" w:rsidRPr="00DF6514" w:rsidRDefault="00DF6514" w:rsidP="00DF6514">
      <w:pPr>
        <w:pStyle w:val="ListParagraph"/>
      </w:pPr>
      <w:r w:rsidRPr="00DF6514">
        <w:t xml:space="preserve">Member has an </w:t>
      </w:r>
      <w:proofErr w:type="spellStart"/>
      <w:r w:rsidRPr="00DF6514">
        <w:t>untransfused</w:t>
      </w:r>
      <w:proofErr w:type="spellEnd"/>
      <w:r w:rsidRPr="00DF6514">
        <w:t xml:space="preserve"> platelet count at any point prior to the initiation of the requested medication of either of the following:</w:t>
      </w:r>
    </w:p>
    <w:p w14:paraId="27B00780" w14:textId="77777777" w:rsidR="00DF6514" w:rsidRPr="00DF6514" w:rsidRDefault="00DF6514" w:rsidP="00DF6514">
      <w:pPr>
        <w:pStyle w:val="ListParagraph"/>
        <w:numPr>
          <w:ilvl w:val="1"/>
          <w:numId w:val="37"/>
        </w:numPr>
      </w:pPr>
      <w:r w:rsidRPr="00DF6514">
        <w:t>Less than 30x10</w:t>
      </w:r>
      <w:r w:rsidRPr="00DF6514">
        <w:rPr>
          <w:vertAlign w:val="superscript"/>
        </w:rPr>
        <w:t>9</w:t>
      </w:r>
      <w:r w:rsidRPr="00DF6514">
        <w:t>/L</w:t>
      </w:r>
    </w:p>
    <w:p w14:paraId="0CFA118B" w14:textId="74056C6A" w:rsidR="00DF6514" w:rsidRPr="00DF6514" w:rsidRDefault="00DF6514" w:rsidP="00DF6514">
      <w:pPr>
        <w:pStyle w:val="ListParagraph"/>
        <w:numPr>
          <w:ilvl w:val="1"/>
          <w:numId w:val="37"/>
        </w:numPr>
      </w:pPr>
      <w:r w:rsidRPr="00DF6514">
        <w:t>30x10</w:t>
      </w:r>
      <w:r w:rsidRPr="00DF6514">
        <w:rPr>
          <w:vertAlign w:val="superscript"/>
        </w:rPr>
        <w:t>9</w:t>
      </w:r>
      <w:r w:rsidRPr="00DF6514">
        <w:t>/L to 50x10</w:t>
      </w:r>
      <w:r w:rsidRPr="00DF6514">
        <w:rPr>
          <w:vertAlign w:val="superscript"/>
        </w:rPr>
        <w:t>9</w:t>
      </w:r>
      <w:r w:rsidRPr="00DF6514">
        <w:t>/L with symptomatic bleeding (e.g., significant mucous membrane bleeding, gastrointestinal bleeding or trauma) or risk factors for bleeding (see Appendix)</w:t>
      </w:r>
    </w:p>
    <w:p w14:paraId="707FA815" w14:textId="66038EE2" w:rsidR="00DF6514" w:rsidRPr="00DF6514" w:rsidRDefault="00DF6514" w:rsidP="00DF6514">
      <w:pPr>
        <w:pStyle w:val="Heading3"/>
      </w:pPr>
      <w:r w:rsidRPr="00DF6514">
        <w:t xml:space="preserve">Thrombocytopenia associated with chronic hepatitis </w:t>
      </w:r>
      <w:proofErr w:type="gramStart"/>
      <w:r w:rsidRPr="00DF6514">
        <w:t>C</w:t>
      </w:r>
      <w:proofErr w:type="gramEnd"/>
    </w:p>
    <w:p w14:paraId="3E2D5455" w14:textId="78B746AD" w:rsidR="00DF6514" w:rsidRPr="00DF6514" w:rsidRDefault="00DF6514" w:rsidP="00DF6514">
      <w:pPr>
        <w:pStyle w:val="BodyText"/>
      </w:pPr>
      <w:r w:rsidRPr="00DF6514">
        <w:t>Authorization of 12 months may be granted to members who are prescribed the requested drug for the initiation and maintenance of interferon-based therapy for the treatment of thrombocytopenia associated with chronic hepatitis C.</w:t>
      </w:r>
    </w:p>
    <w:p w14:paraId="6C092967" w14:textId="7A50A0D6" w:rsidR="00DF6514" w:rsidRPr="00DF6514" w:rsidRDefault="00DF6514" w:rsidP="00DF6514">
      <w:pPr>
        <w:pStyle w:val="Heading3"/>
      </w:pPr>
      <w:r w:rsidRPr="00DF6514">
        <w:t>Severe aplastic anemia</w:t>
      </w:r>
    </w:p>
    <w:p w14:paraId="36863D2B" w14:textId="77777777" w:rsidR="00DF6514" w:rsidRPr="00DF6514" w:rsidRDefault="00DF6514" w:rsidP="00DF6514">
      <w:pPr>
        <w:pStyle w:val="Heading4"/>
      </w:pPr>
      <w:r w:rsidRPr="00DF6514">
        <w:t>Promacta</w:t>
      </w:r>
    </w:p>
    <w:p w14:paraId="56E57210" w14:textId="77777777" w:rsidR="00DF6514" w:rsidRPr="00DF6514" w:rsidRDefault="00DF6514" w:rsidP="00DF6514">
      <w:pPr>
        <w:pStyle w:val="ListParagraph"/>
      </w:pPr>
      <w:r w:rsidRPr="00DF6514">
        <w:t>Authorization of 6 months may be granted for first-line treatment of severe aplastic anemia when the requested drug will be used in combination with standard immunosuppressive therapy (e.g., horse antithymocyte globulin [h-ATG] and cyclosporine).</w:t>
      </w:r>
    </w:p>
    <w:p w14:paraId="3B55A8AE" w14:textId="77777777" w:rsidR="00DF6514" w:rsidRPr="00DF6514" w:rsidRDefault="00DF6514" w:rsidP="00DF6514">
      <w:pPr>
        <w:pStyle w:val="ListParagraph"/>
      </w:pPr>
      <w:r w:rsidRPr="00DF6514">
        <w:t>Authorization of 6 months may be granted for treatment of severe aplastic anemia in members who have had an insufficient response to immunosuppressive therapy.</w:t>
      </w:r>
    </w:p>
    <w:p w14:paraId="6034DF05" w14:textId="77777777" w:rsidR="00DF6514" w:rsidRPr="00DF6514" w:rsidRDefault="00DF6514" w:rsidP="00DF6514">
      <w:pPr>
        <w:pStyle w:val="Heading4"/>
      </w:pPr>
      <w:r w:rsidRPr="00DF6514">
        <w:t>Alvaiz</w:t>
      </w:r>
    </w:p>
    <w:p w14:paraId="6928F139" w14:textId="3B88654E" w:rsidR="00DF6514" w:rsidRPr="00DF6514" w:rsidRDefault="00DF6514" w:rsidP="00DF6514">
      <w:pPr>
        <w:pStyle w:val="BodyText"/>
      </w:pPr>
      <w:r w:rsidRPr="00DF6514">
        <w:t>Authorization of 6 months may be granted for treatment of severe aplastic anemia in members who have had an insufficient response to immunosuppressive therapy.</w:t>
      </w:r>
    </w:p>
    <w:p w14:paraId="62BB113D" w14:textId="37AE7D0A" w:rsidR="00DF6514" w:rsidRPr="00DF6514" w:rsidRDefault="00DF6514" w:rsidP="00DF6514">
      <w:pPr>
        <w:pStyle w:val="Heading3"/>
        <w:rPr>
          <w:vertAlign w:val="superscript"/>
        </w:rPr>
      </w:pPr>
      <w:r w:rsidRPr="00DF6514">
        <w:t>MYH9-related disease with thrombocytopenia (Promacta only)</w:t>
      </w:r>
    </w:p>
    <w:p w14:paraId="08BD878D" w14:textId="5D91424D" w:rsidR="00DF6514" w:rsidRPr="00DF6514" w:rsidRDefault="00DF6514" w:rsidP="00DF6514">
      <w:pPr>
        <w:pStyle w:val="BodyText"/>
      </w:pPr>
      <w:r w:rsidRPr="00DF6514">
        <w:t>Authorization of 12 months may be granted to members with thrombocytopenia associated with MYH9-related disease.</w:t>
      </w:r>
    </w:p>
    <w:p w14:paraId="6A05D91A" w14:textId="519A9995" w:rsidR="00DF6514" w:rsidRPr="00DF6514" w:rsidRDefault="00DF6514" w:rsidP="00DF6514">
      <w:pPr>
        <w:pStyle w:val="Heading3"/>
      </w:pPr>
      <w:r w:rsidRPr="00DF6514">
        <w:lastRenderedPageBreak/>
        <w:t>Myelodysplastic syndromes (Promacta only)</w:t>
      </w:r>
    </w:p>
    <w:p w14:paraId="67F0F109" w14:textId="250C3BD7" w:rsidR="00DF6514" w:rsidRPr="00DF6514" w:rsidRDefault="00DF6514" w:rsidP="00DF6514">
      <w:pPr>
        <w:pStyle w:val="BodyText"/>
      </w:pPr>
      <w:bookmarkStart w:id="4" w:name="OLE_LINK7"/>
      <w:r w:rsidRPr="00DF6514">
        <w:t>Authorization of 12 months may be granted for treatment of myelodysplastic syndromes (MDS).</w:t>
      </w:r>
      <w:bookmarkEnd w:id="4"/>
    </w:p>
    <w:p w14:paraId="215BE054" w14:textId="1903BA86" w:rsidR="00DF6514" w:rsidRPr="00DF6514" w:rsidRDefault="00B74617" w:rsidP="00DF6514">
      <w:pPr>
        <w:pStyle w:val="Heading3"/>
      </w:pPr>
      <w:r>
        <w:t>T</w:t>
      </w:r>
      <w:r w:rsidR="00DF6514" w:rsidRPr="00DF6514">
        <w:t xml:space="preserve">hrombocytopenia </w:t>
      </w:r>
      <w:r>
        <w:t>post-hematopoietic cell transplant</w:t>
      </w:r>
    </w:p>
    <w:p w14:paraId="55669FAB" w14:textId="6BB8FBE6" w:rsidR="00DF6514" w:rsidRPr="00DF6514" w:rsidRDefault="00DF6514" w:rsidP="00DF6514">
      <w:pPr>
        <w:pStyle w:val="BodyText"/>
        <w:rPr>
          <w:b/>
          <w:bCs/>
        </w:rPr>
      </w:pPr>
      <w:r w:rsidRPr="00DF6514">
        <w:t>Authorization of 6 months may be granted for treatment of prolonged thrombocytopenia in members who are post-allogeneic transplant and have poor graft function.</w:t>
      </w:r>
    </w:p>
    <w:p w14:paraId="3A643EC3" w14:textId="716DE8D7" w:rsidR="00A501AC" w:rsidRDefault="00A501AC" w:rsidP="00A501AC">
      <w:pPr>
        <w:pStyle w:val="Heading2"/>
      </w:pPr>
      <w:r w:rsidRPr="00BD1CC1">
        <w:t>Continuation of Therapy</w:t>
      </w:r>
    </w:p>
    <w:p w14:paraId="66FA2AB8" w14:textId="6FB172B6" w:rsidR="00DF6514" w:rsidRPr="00DF6514" w:rsidRDefault="00DF6514" w:rsidP="00DF6514">
      <w:pPr>
        <w:pStyle w:val="Heading3"/>
      </w:pPr>
      <w:r w:rsidRPr="00DF6514">
        <w:t>Persistent or chronic immune thrombocytopenia (ITP)</w:t>
      </w:r>
    </w:p>
    <w:p w14:paraId="2645CCBB" w14:textId="77777777" w:rsidR="00DF6514" w:rsidRPr="00DF6514" w:rsidRDefault="00DF6514" w:rsidP="00DF6514">
      <w:pPr>
        <w:pStyle w:val="ListParagraph"/>
      </w:pPr>
      <w:r w:rsidRPr="00DF6514">
        <w:t>Authorization of 3 months may be granted to members with current platelet count less than 50x10</w:t>
      </w:r>
      <w:r w:rsidRPr="00DF6514">
        <w:rPr>
          <w:vertAlign w:val="superscript"/>
        </w:rPr>
        <w:t>9</w:t>
      </w:r>
      <w:r w:rsidRPr="00DF6514">
        <w:t>/L for whom the platelet count is not sufficient to prevent clinically important bleeding and who have not received a maximal dose of the requested drug for at least 4 weeks.</w:t>
      </w:r>
    </w:p>
    <w:p w14:paraId="5ECBED63" w14:textId="77777777" w:rsidR="00DF6514" w:rsidRPr="00DF6514" w:rsidRDefault="00DF6514" w:rsidP="00DF6514">
      <w:pPr>
        <w:pStyle w:val="ListParagraph"/>
      </w:pPr>
      <w:r w:rsidRPr="00DF6514">
        <w:t>Authorization of 12 months may be granted to members with current platelet count less than 50x10</w:t>
      </w:r>
      <w:r w:rsidRPr="00DF6514">
        <w:rPr>
          <w:vertAlign w:val="superscript"/>
        </w:rPr>
        <w:t>9</w:t>
      </w:r>
      <w:r w:rsidRPr="00DF6514">
        <w:t>/L for whom the current platelet count is sufficient to prevent clinically important bleeding.</w:t>
      </w:r>
    </w:p>
    <w:p w14:paraId="505EC56E" w14:textId="77777777" w:rsidR="00DF6514" w:rsidRPr="00DF6514" w:rsidRDefault="00DF6514" w:rsidP="00DF6514">
      <w:pPr>
        <w:pStyle w:val="ListParagraph"/>
      </w:pPr>
      <w:r w:rsidRPr="00DF6514">
        <w:t>Authorization of 12 months may be granted to members with current platelet count of 50x10</w:t>
      </w:r>
      <w:r w:rsidRPr="00DF6514">
        <w:rPr>
          <w:vertAlign w:val="superscript"/>
        </w:rPr>
        <w:t>9</w:t>
      </w:r>
      <w:r w:rsidRPr="00DF6514">
        <w:t>/L to 200x10</w:t>
      </w:r>
      <w:r w:rsidRPr="00DF6514">
        <w:rPr>
          <w:vertAlign w:val="superscript"/>
        </w:rPr>
        <w:t>9</w:t>
      </w:r>
      <w:r w:rsidRPr="00DF6514">
        <w:t>/L.</w:t>
      </w:r>
    </w:p>
    <w:p w14:paraId="5FD1AF89" w14:textId="7B2763A9" w:rsidR="00DF6514" w:rsidRPr="00DF6514" w:rsidRDefault="00DF6514" w:rsidP="00DF6514">
      <w:pPr>
        <w:pStyle w:val="ListParagraph"/>
      </w:pPr>
      <w:r w:rsidRPr="00DF6514">
        <w:t>Authorization of 12 months may be granted to members with current platelet count greater than 200x10</w:t>
      </w:r>
      <w:r w:rsidRPr="00DF6514">
        <w:rPr>
          <w:vertAlign w:val="superscript"/>
        </w:rPr>
        <w:t>9</w:t>
      </w:r>
      <w:r w:rsidRPr="00DF6514">
        <w:t>/L to less than or equal to 400x10</w:t>
      </w:r>
      <w:r w:rsidRPr="00DF6514">
        <w:rPr>
          <w:vertAlign w:val="superscript"/>
        </w:rPr>
        <w:t>9</w:t>
      </w:r>
      <w:r w:rsidRPr="00DF6514">
        <w:t>/L for whom dosing for the requested drug will be adjusted to achieve a platelet count sufficient to avoid clinically important bleeding.</w:t>
      </w:r>
    </w:p>
    <w:p w14:paraId="0A47FE81" w14:textId="2AB4E00A" w:rsidR="00DF6514" w:rsidRPr="00DF6514" w:rsidRDefault="00DF6514" w:rsidP="00DF6514">
      <w:pPr>
        <w:pStyle w:val="Heading3"/>
      </w:pPr>
      <w:r w:rsidRPr="00DF6514">
        <w:t xml:space="preserve">Thrombocytopenia associated with chronic hepatitis </w:t>
      </w:r>
      <w:proofErr w:type="gramStart"/>
      <w:r w:rsidRPr="00DF6514">
        <w:t>C</w:t>
      </w:r>
      <w:proofErr w:type="gramEnd"/>
    </w:p>
    <w:p w14:paraId="709D60EC" w14:textId="57D0D5B2" w:rsidR="00DF6514" w:rsidRPr="00DF6514" w:rsidRDefault="00DF6514" w:rsidP="00DF6514">
      <w:pPr>
        <w:pStyle w:val="BodyText"/>
      </w:pPr>
      <w:r w:rsidRPr="00DF6514">
        <w:t>Authorization of 6 months may be granted to members who are continuing to receive interferon-based therapy.</w:t>
      </w:r>
    </w:p>
    <w:p w14:paraId="609C3D69" w14:textId="738DA51B" w:rsidR="00DF6514" w:rsidRPr="00DF6514" w:rsidRDefault="00DF6514" w:rsidP="00DF6514">
      <w:pPr>
        <w:pStyle w:val="Heading3"/>
      </w:pPr>
      <w:r w:rsidRPr="00DF6514">
        <w:t>Severe aplastic anemia</w:t>
      </w:r>
    </w:p>
    <w:p w14:paraId="64ECD2C3" w14:textId="77777777" w:rsidR="00DF6514" w:rsidRPr="00DF6514" w:rsidRDefault="00DF6514" w:rsidP="00DF6514">
      <w:pPr>
        <w:pStyle w:val="ListParagraph"/>
      </w:pPr>
      <w:r w:rsidRPr="00DF6514">
        <w:t>Authorization of up to 16 weeks total may be granted to members with current platelet count less than 50x10</w:t>
      </w:r>
      <w:r w:rsidRPr="00DF6514">
        <w:rPr>
          <w:vertAlign w:val="superscript"/>
        </w:rPr>
        <w:t>9</w:t>
      </w:r>
      <w:r w:rsidRPr="00DF6514">
        <w:t>/L who have not received appropriately titrated therapy with the requested drug for at least 16 weeks.</w:t>
      </w:r>
    </w:p>
    <w:p w14:paraId="6C5E7913" w14:textId="0A175C1B" w:rsidR="00DF6514" w:rsidRPr="00DF6514" w:rsidRDefault="00DF6514" w:rsidP="00DF6514">
      <w:pPr>
        <w:pStyle w:val="ListParagraph"/>
      </w:pPr>
      <w:r w:rsidRPr="00DF6514">
        <w:t>Authorization of 12 months total may be granted to members with current platelet count less than 50x10</w:t>
      </w:r>
      <w:r w:rsidRPr="00DF6514">
        <w:rPr>
          <w:vertAlign w:val="superscript"/>
        </w:rPr>
        <w:t>9</w:t>
      </w:r>
      <w:r w:rsidRPr="00DF6514">
        <w:t>/L who are transfusion-independent.</w:t>
      </w:r>
    </w:p>
    <w:p w14:paraId="7F57BFDD" w14:textId="77777777" w:rsidR="00DF6514" w:rsidRPr="00DF6514" w:rsidRDefault="00DF6514" w:rsidP="00DF6514">
      <w:pPr>
        <w:pStyle w:val="ListParagraph"/>
      </w:pPr>
      <w:r w:rsidRPr="00DF6514">
        <w:t>Authorization of 12 months may be granted to members with current platelet count of 50x10</w:t>
      </w:r>
      <w:r w:rsidRPr="00DF6514">
        <w:rPr>
          <w:vertAlign w:val="superscript"/>
        </w:rPr>
        <w:t>9</w:t>
      </w:r>
      <w:r w:rsidRPr="00DF6514">
        <w:t>/L to 200x10</w:t>
      </w:r>
      <w:r w:rsidRPr="00DF6514">
        <w:rPr>
          <w:vertAlign w:val="superscript"/>
        </w:rPr>
        <w:t>9</w:t>
      </w:r>
      <w:r w:rsidRPr="00DF6514">
        <w:t>/L.</w:t>
      </w:r>
    </w:p>
    <w:p w14:paraId="19D497CC" w14:textId="12EAB5A0" w:rsidR="00DF6514" w:rsidRPr="00DF6514" w:rsidRDefault="00DF6514" w:rsidP="00DF6514">
      <w:pPr>
        <w:pStyle w:val="ListParagraph"/>
      </w:pPr>
      <w:r w:rsidRPr="00DF6514">
        <w:lastRenderedPageBreak/>
        <w:t>Authorization of 12 months may be granted to members with current platelet count greater than 200x10</w:t>
      </w:r>
      <w:r w:rsidRPr="00DF6514">
        <w:rPr>
          <w:vertAlign w:val="superscript"/>
        </w:rPr>
        <w:t>9</w:t>
      </w:r>
      <w:r w:rsidRPr="00DF6514">
        <w:t>/L to less than or equal to 400x10</w:t>
      </w:r>
      <w:r w:rsidRPr="00DF6514">
        <w:rPr>
          <w:vertAlign w:val="superscript"/>
        </w:rPr>
        <w:t>9</w:t>
      </w:r>
      <w:r w:rsidRPr="00DF6514">
        <w:t>/L for whom dosing for the requested drug will be adjusted to achieve and maintain an appropriate target platelet count.</w:t>
      </w:r>
    </w:p>
    <w:p w14:paraId="0BD01D5E" w14:textId="0021323A" w:rsidR="00DF6514" w:rsidRPr="00DF6514" w:rsidRDefault="00DF6514" w:rsidP="00DF6514">
      <w:pPr>
        <w:pStyle w:val="Heading3"/>
      </w:pPr>
      <w:r w:rsidRPr="00DF6514">
        <w:t>MYH9-related disease with thrombocytopenia (Promacta only)</w:t>
      </w:r>
    </w:p>
    <w:p w14:paraId="7C631758" w14:textId="137F52AA" w:rsidR="00DF6514" w:rsidRPr="00DF6514" w:rsidRDefault="00DF6514" w:rsidP="00DF6514">
      <w:pPr>
        <w:pStyle w:val="BodyText"/>
      </w:pPr>
      <w:r w:rsidRPr="00DF6514">
        <w:t>All members (including new members) requesting authorization for continuation of therapy must meet all requirements in the coverage criteria.</w:t>
      </w:r>
    </w:p>
    <w:p w14:paraId="008395D1" w14:textId="615B2181" w:rsidR="00DF6514" w:rsidRPr="00DF6514" w:rsidRDefault="00DF6514" w:rsidP="00DF6514">
      <w:pPr>
        <w:pStyle w:val="Heading3"/>
      </w:pPr>
      <w:r w:rsidRPr="00DF6514">
        <w:t xml:space="preserve">Myelodysplastic syndromes (Promacta only) and </w:t>
      </w:r>
      <w:r w:rsidR="00B74617">
        <w:t>t</w:t>
      </w:r>
      <w:r w:rsidRPr="00DF6514">
        <w:t xml:space="preserve">hrombocytopenia </w:t>
      </w:r>
      <w:r w:rsidR="00B74617">
        <w:t>post-hematopoietic cell transplant</w:t>
      </w:r>
    </w:p>
    <w:p w14:paraId="5EEBEB69" w14:textId="29D7EF1D" w:rsidR="00DF6514" w:rsidRPr="00DF6514" w:rsidRDefault="00DF6514" w:rsidP="00DF6514">
      <w:pPr>
        <w:pStyle w:val="BodyText"/>
      </w:pPr>
      <w:r w:rsidRPr="00DF6514">
        <w:t xml:space="preserve">Authorization of 12 months may be granted for continued treatment of myelodysplastic syndromes or thrombocytopenia </w:t>
      </w:r>
      <w:r w:rsidR="00B74617">
        <w:t>post-hematopoietic cell transplant</w:t>
      </w:r>
      <w:r w:rsidRPr="00DF6514">
        <w:t xml:space="preserve"> in members who experience benefit from therapy (e.g., increased platelet counts, decreased bleeding events, reduced need for platelet transfusions).</w:t>
      </w:r>
    </w:p>
    <w:p w14:paraId="784D6ED7" w14:textId="5C61C6FF" w:rsidR="008B1332" w:rsidRDefault="00B65538" w:rsidP="008B1332">
      <w:pPr>
        <w:pStyle w:val="Heading2"/>
      </w:pPr>
      <w:r w:rsidRPr="00BD1CC1">
        <w:t>Appendix</w:t>
      </w:r>
    </w:p>
    <w:p w14:paraId="47C77B0E" w14:textId="423A492F" w:rsidR="00817788" w:rsidRPr="00817788" w:rsidRDefault="00817788" w:rsidP="00817788">
      <w:pPr>
        <w:pStyle w:val="Heading3"/>
        <w:rPr>
          <w:vertAlign w:val="superscript"/>
        </w:rPr>
      </w:pPr>
      <w:r w:rsidRPr="00817788">
        <w:t>Examples of risk factors for bleeding (not all inclusive)</w:t>
      </w:r>
    </w:p>
    <w:p w14:paraId="4AC89B7B" w14:textId="77777777" w:rsidR="00817788" w:rsidRPr="00817788" w:rsidRDefault="00817788" w:rsidP="00817788">
      <w:pPr>
        <w:pStyle w:val="ListParagraph"/>
      </w:pPr>
      <w:r w:rsidRPr="00817788">
        <w:t>Undergoing a medical or dental procedure where blood loss is anticipated</w:t>
      </w:r>
    </w:p>
    <w:p w14:paraId="0D019DE5" w14:textId="77777777" w:rsidR="00817788" w:rsidRPr="00817788" w:rsidRDefault="00817788" w:rsidP="00817788">
      <w:pPr>
        <w:pStyle w:val="ListParagraph"/>
      </w:pPr>
      <w:r w:rsidRPr="00817788">
        <w:t xml:space="preserve">Comorbidities for bleeding (e.g., peptic ulcer disease) </w:t>
      </w:r>
    </w:p>
    <w:p w14:paraId="1213165D" w14:textId="3D35364D" w:rsidR="00817788" w:rsidRPr="00817788" w:rsidRDefault="00817788" w:rsidP="00817788">
      <w:pPr>
        <w:pStyle w:val="ListParagraph"/>
      </w:pPr>
      <w:r w:rsidRPr="00817788">
        <w:t>Mandated anticoagulation therapy</w:t>
      </w:r>
    </w:p>
    <w:p w14:paraId="60552BA1" w14:textId="3D70EE2E" w:rsidR="00817788" w:rsidRPr="00817788" w:rsidRDefault="00817788" w:rsidP="00D042D0">
      <w:pPr>
        <w:pStyle w:val="ListParagraph"/>
      </w:pPr>
      <w:r w:rsidRPr="00817788">
        <w:t>Profession (e.g., construction worker) or lifestyle (e.g., plays contact sports) that predisposes member to trauma</w:t>
      </w:r>
    </w:p>
    <w:p w14:paraId="10DA4309" w14:textId="09472358" w:rsidR="00FF66BF" w:rsidRDefault="00FF66BF" w:rsidP="00FF66BF">
      <w:pPr>
        <w:pStyle w:val="Heading2"/>
      </w:pPr>
      <w:r w:rsidRPr="008D1B34">
        <w:t>References</w:t>
      </w:r>
    </w:p>
    <w:p w14:paraId="12CD4ADE" w14:textId="77777777" w:rsidR="00817788" w:rsidRPr="006A7DF3" w:rsidRDefault="00817788" w:rsidP="00817788">
      <w:pPr>
        <w:pStyle w:val="ReferenceOrdered"/>
      </w:pPr>
      <w:r w:rsidRPr="006A7DF3">
        <w:t>Promacta [package insert]. East Hanover, NJ: Novartis Pharmaceuticals Corporation; March 2023.</w:t>
      </w:r>
    </w:p>
    <w:p w14:paraId="68BDEFA0" w14:textId="77777777" w:rsidR="00817788" w:rsidRPr="006A7DF3" w:rsidRDefault="00817788" w:rsidP="00817788">
      <w:pPr>
        <w:pStyle w:val="ReferenceOrdered"/>
      </w:pPr>
      <w:r w:rsidRPr="006A7DF3">
        <w:t>Alvaiz [package insert]. Parsippany, NJ: Teva Pharmaceuticals; May 2024.</w:t>
      </w:r>
    </w:p>
    <w:p w14:paraId="0AC7468A" w14:textId="77777777" w:rsidR="001269F7" w:rsidRPr="006A7DF3" w:rsidRDefault="00817788" w:rsidP="00817788">
      <w:pPr>
        <w:pStyle w:val="ReferenceOrdered"/>
      </w:pPr>
      <w:proofErr w:type="spellStart"/>
      <w:r w:rsidRPr="006A7DF3">
        <w:t>Pecci</w:t>
      </w:r>
      <w:proofErr w:type="spellEnd"/>
      <w:r w:rsidRPr="006A7DF3">
        <w:t xml:space="preserve"> A, </w:t>
      </w:r>
      <w:proofErr w:type="spellStart"/>
      <w:r w:rsidRPr="006A7DF3">
        <w:t>Gresele</w:t>
      </w:r>
      <w:proofErr w:type="spellEnd"/>
      <w:r w:rsidRPr="006A7DF3">
        <w:t xml:space="preserve"> P, </w:t>
      </w:r>
      <w:proofErr w:type="spellStart"/>
      <w:r w:rsidRPr="006A7DF3">
        <w:t>Klersy</w:t>
      </w:r>
      <w:proofErr w:type="spellEnd"/>
      <w:r w:rsidRPr="006A7DF3">
        <w:t xml:space="preserve"> C, et al. </w:t>
      </w:r>
      <w:bookmarkStart w:id="5" w:name="OLE_LINK2"/>
      <w:r w:rsidRPr="006A7DF3">
        <w:t>Eltrombopag for the treatment of the inherited thrombocytopenia deriving from MYH9 mutations. Blood. 2010;116(26):5832-7.</w:t>
      </w:r>
      <w:bookmarkEnd w:id="5"/>
    </w:p>
    <w:p w14:paraId="2F39686C" w14:textId="7ACD2BC0" w:rsidR="00817788" w:rsidRPr="006A7DF3" w:rsidRDefault="00817788" w:rsidP="00817788">
      <w:pPr>
        <w:pStyle w:val="ReferenceOrdered"/>
      </w:pPr>
      <w:r w:rsidRPr="006A7DF3">
        <w:t>The NCCN Drugs &amp; Biologics Compendium</w:t>
      </w:r>
      <w:r w:rsidRPr="006A7DF3">
        <w:rPr>
          <w:vertAlign w:val="superscript"/>
        </w:rPr>
        <w:t>®</w:t>
      </w:r>
      <w:r w:rsidRPr="006A7DF3">
        <w:t xml:space="preserve"> © 2024 National Comprehensive Cancer Network, Inc. https://www.nccn.org. Accessed June 10, 2024.</w:t>
      </w:r>
    </w:p>
    <w:p w14:paraId="4867B5B9" w14:textId="77777777" w:rsidR="00817788" w:rsidRPr="006A7DF3" w:rsidRDefault="00817788" w:rsidP="00817788">
      <w:pPr>
        <w:pStyle w:val="ReferenceOrdered"/>
      </w:pPr>
      <w:r w:rsidRPr="006A7DF3">
        <w:t>The NCCN Clinical Practice Guidelines in Oncology® Myelodysplastic Syndrome (Version 2.2024). © 2024 National Comprehensive Cancer Network, Inc. https://www.nccn.org. Accessed June 10, 2024.</w:t>
      </w:r>
    </w:p>
    <w:p w14:paraId="4DB366C7" w14:textId="616077E0" w:rsidR="00817788" w:rsidRPr="006A7DF3" w:rsidRDefault="00817788" w:rsidP="00817788">
      <w:pPr>
        <w:pStyle w:val="ReferenceOrdered"/>
      </w:pPr>
      <w:r w:rsidRPr="006A7DF3">
        <w:rPr>
          <w:lang w:val="nb-NO"/>
        </w:rPr>
        <w:t xml:space="preserve">Nuenert C, Terrel DR, Arnold DM, et al. </w:t>
      </w:r>
      <w:r w:rsidRPr="006A7DF3">
        <w:t>American Society of Hematology 2019 guidelines for immune thrombocytopenia. Blood Adv. 2019;3(23):3829–3866.</w:t>
      </w:r>
    </w:p>
    <w:p w14:paraId="767AC1B2" w14:textId="4CE3C53C" w:rsidR="00817788" w:rsidRPr="006A7DF3" w:rsidRDefault="00817788" w:rsidP="00817788">
      <w:pPr>
        <w:pStyle w:val="ReferenceOrdered"/>
      </w:pPr>
      <w:r w:rsidRPr="006A7DF3">
        <w:rPr>
          <w:lang w:val="nb-NO"/>
        </w:rPr>
        <w:lastRenderedPageBreak/>
        <w:t xml:space="preserve">Provan D, Arnold DM, Bussel JB, et al. </w:t>
      </w:r>
      <w:bookmarkStart w:id="6" w:name="OLE_LINK6"/>
      <w:bookmarkStart w:id="7" w:name="OLE_LINK11"/>
      <w:r w:rsidRPr="006A7DF3">
        <w:t>Updated international consensus report on the investigation and management of primary immune thrombocytopenia. </w:t>
      </w:r>
      <w:bookmarkEnd w:id="6"/>
      <w:r w:rsidRPr="006A7DF3">
        <w:t>Blood Adv. 2019;3(22): 3780–3817</w:t>
      </w:r>
      <w:bookmarkEnd w:id="7"/>
      <w:r w:rsidRPr="006A7DF3">
        <w:t>.</w:t>
      </w:r>
    </w:p>
    <w:p w14:paraId="5E65CEF6" w14:textId="77777777" w:rsidR="00817788" w:rsidRPr="006A7DF3" w:rsidRDefault="00817788" w:rsidP="00817788">
      <w:pPr>
        <w:pStyle w:val="ReferenceOrdered"/>
      </w:pPr>
      <w:r w:rsidRPr="006A7DF3">
        <w:t xml:space="preserve">Provan D, Stasi R, Newland AC, et al. </w:t>
      </w:r>
      <w:bookmarkStart w:id="8" w:name="OLE_LINK14"/>
      <w:proofErr w:type="gramStart"/>
      <w:r w:rsidRPr="006A7DF3">
        <w:rPr>
          <w:bCs/>
        </w:rPr>
        <w:t>International</w:t>
      </w:r>
      <w:proofErr w:type="gramEnd"/>
      <w:r w:rsidRPr="006A7DF3">
        <w:rPr>
          <w:bCs/>
        </w:rPr>
        <w:t xml:space="preserve"> consensus report on the investigation and management of primary immune thrombocytopenia.</w:t>
      </w:r>
      <w:r w:rsidRPr="006A7DF3">
        <w:t xml:space="preserve"> Blood. 2010;115(2):168-186</w:t>
      </w:r>
      <w:bookmarkEnd w:id="8"/>
      <w:r w:rsidRPr="006A7DF3">
        <w:t>.</w:t>
      </w:r>
    </w:p>
    <w:p w14:paraId="02C1929B" w14:textId="77777777" w:rsidR="00817788" w:rsidRPr="006A7DF3" w:rsidRDefault="00817788" w:rsidP="00817788">
      <w:pPr>
        <w:pStyle w:val="ReferenceOrdered"/>
      </w:pPr>
      <w:r w:rsidRPr="006A7DF3">
        <w:rPr>
          <w:lang w:val="de-DE"/>
        </w:rPr>
        <w:t xml:space="preserve">Rodeghiero F, Stasi R, Gernsheimer T, et al. </w:t>
      </w:r>
      <w:r w:rsidRPr="006A7DF3">
        <w:rPr>
          <w:bCs/>
        </w:rPr>
        <w:t xml:space="preserve">Standardization of terminology, </w:t>
      </w:r>
      <w:proofErr w:type="gramStart"/>
      <w:r w:rsidRPr="006A7DF3">
        <w:rPr>
          <w:bCs/>
        </w:rPr>
        <w:t>definitions</w:t>
      </w:r>
      <w:proofErr w:type="gramEnd"/>
      <w:r w:rsidRPr="006A7DF3">
        <w:rPr>
          <w:bCs/>
        </w:rPr>
        <w:t xml:space="preserve"> and outcome criteria in immune thrombocytopenic purpura of adults and children: report from an international working group. </w:t>
      </w:r>
      <w:r w:rsidRPr="006A7DF3">
        <w:t>Blood. 2009;113(11):2386-2393.</w:t>
      </w:r>
    </w:p>
    <w:p w14:paraId="24789A9A" w14:textId="77777777" w:rsidR="00817788" w:rsidRPr="006A7DF3" w:rsidRDefault="00817788" w:rsidP="00817788">
      <w:pPr>
        <w:pStyle w:val="ReferenceOrdered"/>
      </w:pPr>
      <w:bookmarkStart w:id="9" w:name="OLE_LINK13"/>
      <w:r w:rsidRPr="006A7DF3">
        <w:rPr>
          <w:lang w:val="nb-NO"/>
        </w:rPr>
        <w:t xml:space="preserve">Olnes MJ, Scheinberg P, Calvo KR, et al. </w:t>
      </w:r>
      <w:bookmarkStart w:id="10" w:name="OLE_LINK10"/>
      <w:r w:rsidRPr="006A7DF3">
        <w:t>Eltrombopag and improved hematopoiesis in refractory aplastic anemia. N Engl J Med. 2012;367(1):11-19.</w:t>
      </w:r>
    </w:p>
    <w:bookmarkEnd w:id="9"/>
    <w:bookmarkEnd w:id="10"/>
    <w:p w14:paraId="4C65549E" w14:textId="77777777" w:rsidR="00817788" w:rsidRPr="006A7DF3" w:rsidRDefault="00817788" w:rsidP="00817788">
      <w:pPr>
        <w:pStyle w:val="ReferenceOrdered"/>
      </w:pPr>
      <w:r w:rsidRPr="006A7DF3">
        <w:t xml:space="preserve">Townsley DM, Scheinberg P, Winkler T, et al. </w:t>
      </w:r>
      <w:bookmarkStart w:id="11" w:name="OLE_LINK15"/>
      <w:r w:rsidRPr="006A7DF3">
        <w:t>Eltrombopag added to standard immunosuppression for aplastic anemia. N Engl J Med. </w:t>
      </w:r>
      <w:proofErr w:type="gramStart"/>
      <w:r w:rsidRPr="006A7DF3">
        <w:t>2017;376:1540</w:t>
      </w:r>
      <w:proofErr w:type="gramEnd"/>
      <w:r w:rsidRPr="006A7DF3">
        <w:t>-1550.</w:t>
      </w:r>
    </w:p>
    <w:bookmarkEnd w:id="11"/>
    <w:p w14:paraId="47E1A10C" w14:textId="6E542AD2" w:rsidR="00C44990" w:rsidRPr="00C440E9" w:rsidRDefault="00817788" w:rsidP="007F3D9E">
      <w:pPr>
        <w:pStyle w:val="ReferenceOrdered"/>
      </w:pPr>
      <w:proofErr w:type="spellStart"/>
      <w:r w:rsidRPr="006A7DF3">
        <w:t>Kulasekararaj</w:t>
      </w:r>
      <w:proofErr w:type="spellEnd"/>
      <w:r w:rsidRPr="006A7DF3">
        <w:t xml:space="preserve"> A, </w:t>
      </w:r>
      <w:proofErr w:type="spellStart"/>
      <w:r w:rsidRPr="006A7DF3">
        <w:t>Cavenagh</w:t>
      </w:r>
      <w:proofErr w:type="spellEnd"/>
      <w:r w:rsidRPr="006A7DF3">
        <w:t xml:space="preserve"> J, </w:t>
      </w:r>
      <w:proofErr w:type="spellStart"/>
      <w:r w:rsidRPr="006A7DF3">
        <w:t>Dokal</w:t>
      </w:r>
      <w:proofErr w:type="spellEnd"/>
      <w:r w:rsidRPr="006A7DF3">
        <w:t xml:space="preserve"> I, et al. Guidelines for the diagnosis and management of adult aplastic </w:t>
      </w:r>
      <w:proofErr w:type="spellStart"/>
      <w:r w:rsidRPr="006A7DF3">
        <w:t>anaemia</w:t>
      </w:r>
      <w:proofErr w:type="spellEnd"/>
      <w:r w:rsidRPr="006A7DF3">
        <w:t xml:space="preserve">: A British Society for </w:t>
      </w:r>
      <w:proofErr w:type="spellStart"/>
      <w:r w:rsidRPr="006A7DF3">
        <w:t>Haematology</w:t>
      </w:r>
      <w:proofErr w:type="spellEnd"/>
      <w:r w:rsidRPr="006A7DF3">
        <w:t xml:space="preserve"> guideline. Br J Haematol. 2024;204(3):784-804.</w:t>
      </w:r>
    </w:p>
    <w:sectPr w:rsidR="00C44990" w:rsidRPr="00C440E9" w:rsidSect="00AA1E6A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8BCE7" w14:textId="77777777" w:rsidR="00631410" w:rsidRDefault="00631410">
      <w:r>
        <w:separator/>
      </w:r>
    </w:p>
  </w:endnote>
  <w:endnote w:type="continuationSeparator" w:id="0">
    <w:p w14:paraId="09112604" w14:textId="77777777" w:rsidR="00631410" w:rsidRDefault="00631410">
      <w:r>
        <w:continuationSeparator/>
      </w:r>
    </w:p>
  </w:endnote>
  <w:endnote w:type="continuationNotice" w:id="1">
    <w:p w14:paraId="0CFF6989" w14:textId="77777777" w:rsidR="00631410" w:rsidRDefault="006314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1BCE71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766C1" w:rsidRPr="00E766C1">
      <w:rPr>
        <w:rFonts w:cs="Arial"/>
        <w:noProof/>
        <w:sz w:val="16"/>
        <w:szCs w:val="16"/>
      </w:rPr>
      <w:t>Promacta-Alvaiz</w:t>
    </w:r>
    <w:r w:rsidR="00E766C1">
      <w:rPr>
        <w:rFonts w:cs="Arial"/>
        <w:noProof/>
        <w:snapToGrid w:val="0"/>
        <w:color w:val="000000"/>
        <w:sz w:val="16"/>
        <w:szCs w:val="16"/>
      </w:rPr>
      <w:t xml:space="preserve"> SGM 1928-A</w:t>
    </w:r>
    <w:r w:rsidR="00E766C1" w:rsidRPr="00E766C1">
      <w:rPr>
        <w:rFonts w:cs="Arial"/>
        <w:noProof/>
        <w:sz w:val="16"/>
        <w:szCs w:val="16"/>
      </w:rPr>
      <w:t xml:space="preserve"> P2024</w:t>
    </w:r>
    <w:r w:rsidR="00E766C1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25DF49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A4C8BBD" w:rsidR="00F75C81" w:rsidRPr="00AA1E6A" w:rsidRDefault="00C36B72" w:rsidP="007F3D9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4832A6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766C1" w:rsidRPr="00E766C1">
      <w:rPr>
        <w:rFonts w:cs="Arial"/>
        <w:noProof/>
        <w:sz w:val="16"/>
        <w:szCs w:val="16"/>
      </w:rPr>
      <w:t>Promacta-Alvaiz</w:t>
    </w:r>
    <w:r w:rsidR="00E766C1">
      <w:rPr>
        <w:rFonts w:cs="Arial"/>
        <w:noProof/>
        <w:snapToGrid w:val="0"/>
        <w:color w:val="000000"/>
        <w:sz w:val="16"/>
        <w:szCs w:val="16"/>
      </w:rPr>
      <w:t xml:space="preserve"> SGM 1928-A</w:t>
    </w:r>
    <w:r w:rsidR="00E766C1" w:rsidRPr="00E766C1">
      <w:rPr>
        <w:rFonts w:cs="Arial"/>
        <w:noProof/>
        <w:sz w:val="16"/>
        <w:szCs w:val="16"/>
      </w:rPr>
      <w:t xml:space="preserve"> P2024</w:t>
    </w:r>
    <w:r w:rsidR="00E766C1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="009C170B">
      <w:rPr>
        <w:rFonts w:cs="Arial"/>
        <w:noProof/>
        <w:sz w:val="16"/>
        <w:szCs w:val="16"/>
      </w:rPr>
      <w:tab/>
    </w:r>
    <w:r w:rsidRPr="00EC47B6">
      <w:rPr>
        <w:rFonts w:cs="Arial"/>
        <w:snapToGrid w:val="0"/>
        <w:color w:val="000000"/>
        <w:sz w:val="16"/>
      </w:rPr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F428A9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1DB5883" w:rsidR="00ED04EC" w:rsidRPr="00F50D98" w:rsidRDefault="00F50D98" w:rsidP="007F3D9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14D25" w14:textId="08A9C11A" w:rsidR="00817788" w:rsidRPr="00817788" w:rsidRDefault="00817788" w:rsidP="008177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EC2F6" w14:textId="77777777" w:rsidR="00631410" w:rsidRDefault="00631410">
      <w:r>
        <w:separator/>
      </w:r>
    </w:p>
  </w:footnote>
  <w:footnote w:type="continuationSeparator" w:id="0">
    <w:p w14:paraId="0C33CD24" w14:textId="77777777" w:rsidR="00631410" w:rsidRDefault="00631410">
      <w:r>
        <w:continuationSeparator/>
      </w:r>
    </w:p>
  </w:footnote>
  <w:footnote w:type="continuationNotice" w:id="1">
    <w:p w14:paraId="66D0E02D" w14:textId="77777777" w:rsidR="00631410" w:rsidRDefault="006314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EE97725" w:rsidR="00ED04EC" w:rsidRPr="00817788" w:rsidRDefault="00817788" w:rsidP="00ED04EC">
          <w:pPr>
            <w:pStyle w:val="Header"/>
            <w:rPr>
              <w:rFonts w:cs="Arial"/>
              <w:sz w:val="16"/>
              <w:szCs w:val="16"/>
            </w:rPr>
          </w:pPr>
          <w:r w:rsidRPr="00817788">
            <w:rPr>
              <w:rFonts w:cs="Arial"/>
              <w:sz w:val="16"/>
              <w:szCs w:val="16"/>
            </w:rPr>
            <w:t>1928-A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33585A"/>
    <w:multiLevelType w:val="hybridMultilevel"/>
    <w:tmpl w:val="05BC4A22"/>
    <w:lvl w:ilvl="0" w:tplc="5ACA8E74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color w:val="auto"/>
        <w:vertAlign w:val="baseline"/>
      </w:rPr>
    </w:lvl>
    <w:lvl w:ilvl="1" w:tplc="D64A6F08">
      <w:start w:val="1"/>
      <w:numFmt w:val="decimal"/>
      <w:lvlText w:val="%2."/>
      <w:lvlJc w:val="left"/>
      <w:pPr>
        <w:ind w:left="180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B4A820D8">
      <w:start w:val="1"/>
      <w:numFmt w:val="decimal"/>
      <w:lvlText w:val="%4."/>
      <w:lvlJc w:val="left"/>
      <w:pPr>
        <w:ind w:left="180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2160" w:hanging="360"/>
      </w:pPr>
    </w:lvl>
    <w:lvl w:ilvl="5" w:tplc="0409001B">
      <w:start w:val="1"/>
      <w:numFmt w:val="lowerRoman"/>
      <w:lvlText w:val="%6."/>
      <w:lvlJc w:val="right"/>
      <w:pPr>
        <w:ind w:left="2520" w:hanging="180"/>
      </w:pPr>
    </w:lvl>
    <w:lvl w:ilvl="6" w:tplc="D43E0D14">
      <w:start w:val="6"/>
      <w:numFmt w:val="upperLetter"/>
      <w:lvlText w:val="%7&gt;"/>
      <w:lvlJc w:val="left"/>
      <w:pPr>
        <w:ind w:left="576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8AC4623"/>
    <w:multiLevelType w:val="hybridMultilevel"/>
    <w:tmpl w:val="985454B6"/>
    <w:lvl w:ilvl="0" w:tplc="26CA9D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10215D"/>
    <w:multiLevelType w:val="multilevel"/>
    <w:tmpl w:val="99027CB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BB3BF0"/>
    <w:multiLevelType w:val="hybridMultilevel"/>
    <w:tmpl w:val="8E3AE2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80636"/>
    <w:multiLevelType w:val="hybridMultilevel"/>
    <w:tmpl w:val="B72800F6"/>
    <w:lvl w:ilvl="0" w:tplc="5E08D6AE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  <w:vertAlign w:val="baseline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E1B0C40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D43E0D14">
      <w:start w:val="6"/>
      <w:numFmt w:val="upperLetter"/>
      <w:lvlText w:val="%7&gt;"/>
      <w:lvlJc w:val="left"/>
      <w:pPr>
        <w:ind w:left="540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80C7F68"/>
    <w:multiLevelType w:val="hybridMultilevel"/>
    <w:tmpl w:val="7452C930"/>
    <w:lvl w:ilvl="0" w:tplc="E0D87882">
      <w:start w:val="5"/>
      <w:numFmt w:val="upp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3E22275E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186C77"/>
    <w:multiLevelType w:val="hybridMultilevel"/>
    <w:tmpl w:val="B5BEDA4C"/>
    <w:lvl w:ilvl="0" w:tplc="30848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30848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31F41525"/>
    <w:multiLevelType w:val="hybridMultilevel"/>
    <w:tmpl w:val="DDF82A8C"/>
    <w:lvl w:ilvl="0" w:tplc="9AB0D906">
      <w:start w:val="4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B583B"/>
    <w:multiLevelType w:val="hybridMultilevel"/>
    <w:tmpl w:val="4F84FFD0"/>
    <w:lvl w:ilvl="0" w:tplc="17A695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103C9"/>
    <w:multiLevelType w:val="hybridMultilevel"/>
    <w:tmpl w:val="ECFE806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B07FF1"/>
    <w:multiLevelType w:val="hybridMultilevel"/>
    <w:tmpl w:val="A38CB2C8"/>
    <w:lvl w:ilvl="0" w:tplc="32066C7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  <w:vertAlign w:val="baseli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CA4081"/>
    <w:multiLevelType w:val="hybridMultilevel"/>
    <w:tmpl w:val="B418703E"/>
    <w:lvl w:ilvl="0" w:tplc="D64A6F08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36CD7"/>
    <w:multiLevelType w:val="hybridMultilevel"/>
    <w:tmpl w:val="CA54AE74"/>
    <w:lvl w:ilvl="0" w:tplc="5652FFA4">
      <w:start w:val="1"/>
      <w:numFmt w:val="upperRoman"/>
      <w:lvlText w:val="%1."/>
      <w:lvlJc w:val="right"/>
      <w:pPr>
        <w:ind w:left="1260" w:hanging="720"/>
      </w:pPr>
      <w:rPr>
        <w:rFonts w:hint="default"/>
      </w:rPr>
    </w:lvl>
    <w:lvl w:ilvl="1" w:tplc="9D16F11A">
      <w:start w:val="1"/>
      <w:numFmt w:val="upperLetter"/>
      <w:lvlText w:val="%2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51CE4"/>
    <w:multiLevelType w:val="hybridMultilevel"/>
    <w:tmpl w:val="2E9462B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98E954">
      <w:start w:val="1"/>
      <w:numFmt w:val="lowerRoman"/>
      <w:lvlText w:val="%2."/>
      <w:lvlJc w:val="left"/>
      <w:pPr>
        <w:ind w:left="2160" w:hanging="360"/>
      </w:pPr>
      <w:rPr>
        <w:rFonts w:ascii="Arial" w:hAnsi="Arial"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C61245"/>
    <w:multiLevelType w:val="multilevel"/>
    <w:tmpl w:val="47A607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F27579"/>
    <w:multiLevelType w:val="hybridMultilevel"/>
    <w:tmpl w:val="F92CC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11DD0"/>
    <w:multiLevelType w:val="hybridMultilevel"/>
    <w:tmpl w:val="F8D6B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3"/>
  </w:num>
  <w:num w:numId="2" w16cid:durableId="606935877">
    <w:abstractNumId w:val="36"/>
  </w:num>
  <w:num w:numId="3" w16cid:durableId="611589570">
    <w:abstractNumId w:val="3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6"/>
  </w:num>
  <w:num w:numId="17" w16cid:durableId="2128498676">
    <w:abstractNumId w:val="41"/>
  </w:num>
  <w:num w:numId="18" w16cid:durableId="299724409">
    <w:abstractNumId w:val="33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43"/>
  </w:num>
  <w:num w:numId="22" w16cid:durableId="1472481103">
    <w:abstractNumId w:val="35"/>
  </w:num>
  <w:num w:numId="23" w16cid:durableId="1997420403">
    <w:abstractNumId w:val="37"/>
  </w:num>
  <w:num w:numId="24" w16cid:durableId="33312838">
    <w:abstractNumId w:val="34"/>
  </w:num>
  <w:num w:numId="25" w16cid:durableId="507404939">
    <w:abstractNumId w:val="25"/>
  </w:num>
  <w:num w:numId="26" w16cid:durableId="1950313333">
    <w:abstractNumId w:val="29"/>
  </w:num>
  <w:num w:numId="27" w16cid:durableId="1866016584">
    <w:abstractNumId w:val="28"/>
  </w:num>
  <w:num w:numId="28" w16cid:durableId="1324355954">
    <w:abstractNumId w:val="20"/>
  </w:num>
  <w:num w:numId="29" w16cid:durableId="1127427416">
    <w:abstractNumId w:val="32"/>
  </w:num>
  <w:num w:numId="30" w16cid:durableId="708720991">
    <w:abstractNumId w:val="12"/>
  </w:num>
  <w:num w:numId="31" w16cid:durableId="279074287">
    <w:abstractNumId w:val="27"/>
  </w:num>
  <w:num w:numId="32" w16cid:durableId="798836585">
    <w:abstractNumId w:val="18"/>
  </w:num>
  <w:num w:numId="33" w16cid:durableId="1246064023">
    <w:abstractNumId w:val="38"/>
  </w:num>
  <w:num w:numId="34" w16cid:durableId="581835994">
    <w:abstractNumId w:val="30"/>
  </w:num>
  <w:num w:numId="35" w16cid:durableId="568927251">
    <w:abstractNumId w:val="24"/>
  </w:num>
  <w:num w:numId="36" w16cid:durableId="223106440">
    <w:abstractNumId w:val="39"/>
  </w:num>
  <w:num w:numId="37" w16cid:durableId="618339380">
    <w:abstractNumId w:val="40"/>
  </w:num>
  <w:num w:numId="38" w16cid:durableId="1655714719">
    <w:abstractNumId w:val="15"/>
  </w:num>
  <w:num w:numId="39" w16cid:durableId="1850565038">
    <w:abstractNumId w:val="44"/>
  </w:num>
  <w:num w:numId="40" w16cid:durableId="622687746">
    <w:abstractNumId w:val="19"/>
  </w:num>
  <w:num w:numId="41" w16cid:durableId="1360161201">
    <w:abstractNumId w:val="23"/>
  </w:num>
  <w:num w:numId="42" w16cid:durableId="809177673">
    <w:abstractNumId w:val="21"/>
  </w:num>
  <w:num w:numId="43" w16cid:durableId="2122675642">
    <w:abstractNumId w:val="22"/>
  </w:num>
  <w:num w:numId="44" w16cid:durableId="1670593273">
    <w:abstractNumId w:val="42"/>
  </w:num>
  <w:num w:numId="45" w16cid:durableId="1128861661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03E7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4D56"/>
    <w:rsid w:val="000E4D6E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69F7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0AA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59D1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844"/>
    <w:rsid w:val="0025395A"/>
    <w:rsid w:val="00254313"/>
    <w:rsid w:val="00254CF2"/>
    <w:rsid w:val="0025520A"/>
    <w:rsid w:val="002556AB"/>
    <w:rsid w:val="00255903"/>
    <w:rsid w:val="002568ED"/>
    <w:rsid w:val="002577C8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B91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D7EC3"/>
    <w:rsid w:val="003E1C0F"/>
    <w:rsid w:val="003E260D"/>
    <w:rsid w:val="003E28D8"/>
    <w:rsid w:val="003E3080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2874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332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157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301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37E59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6526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C9F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410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A7DF3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8CB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3737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274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3D9E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17788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496A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170B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208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3B8E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11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3D43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4617"/>
    <w:rsid w:val="00B75EEA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4F39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6C2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0E9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0EE2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037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2D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2695C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5CC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34CF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514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4E36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66C1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A7A28"/>
    <w:rsid w:val="00EB0299"/>
    <w:rsid w:val="00EB127B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18B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657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2EA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257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36EC8FC7-15B2-4973-A93C-7BCC6BFB55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9828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 PrimaryTemplate</dc:title>
  <dc:subject/>
  <dc:creator>CVS Caremark</dc:creator>
  <cp:keywords/>
  <cp:lastModifiedBy>Ng, Candy</cp:lastModifiedBy>
  <cp:revision>3</cp:revision>
  <cp:lastPrinted>2018-01-09T11:01:00Z</cp:lastPrinted>
  <dcterms:created xsi:type="dcterms:W3CDTF">2024-11-01T21:42:00Z</dcterms:created>
  <dcterms:modified xsi:type="dcterms:W3CDTF">2024-11-01T21:44:00Z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GrammarlyDocumentId">
    <vt:lpwstr>e888f99fd5ded2117cbdfc1e4173f20ab7bbaa4271577d32ddcad38b44f6718f</vt:lpwstr>
  </property>
  <property fmtid="{D5CDD505-2E9C-101B-9397-08002B2CF9AE}" pid="12" name="Order">
    <vt:r8>1585500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_SourceUrl">
    <vt:lpwstr/>
  </property>
  <property fmtid="{D5CDD505-2E9C-101B-9397-08002B2CF9AE}" pid="20" name="_SharedFileIndex">
    <vt:lpwstr/>
  </property>
</Properties>
</file>